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097" w:rsidRDefault="00995097" w:rsidP="00995097">
      <w:pPr>
        <w:spacing w:line="480" w:lineRule="auto"/>
        <w:jc w:val="center"/>
        <w:rPr>
          <w:rFonts w:ascii="Times New Roman" w:hAnsi="Times New Roman" w:cs="Times New Roman"/>
          <w:b/>
          <w:sz w:val="24"/>
          <w:szCs w:val="24"/>
        </w:rPr>
      </w:pPr>
    </w:p>
    <w:p w:rsidR="00995097" w:rsidRDefault="00995097" w:rsidP="00995097">
      <w:pPr>
        <w:spacing w:line="480" w:lineRule="auto"/>
        <w:jc w:val="center"/>
        <w:rPr>
          <w:rFonts w:ascii="Times New Roman" w:hAnsi="Times New Roman" w:cs="Times New Roman"/>
          <w:b/>
          <w:sz w:val="24"/>
          <w:szCs w:val="24"/>
        </w:rPr>
      </w:pPr>
    </w:p>
    <w:p w:rsidR="00995097" w:rsidRDefault="00995097" w:rsidP="00995097">
      <w:pPr>
        <w:spacing w:line="480" w:lineRule="auto"/>
        <w:jc w:val="center"/>
        <w:rPr>
          <w:rFonts w:ascii="Times New Roman" w:hAnsi="Times New Roman" w:cs="Times New Roman"/>
          <w:b/>
          <w:sz w:val="24"/>
          <w:szCs w:val="24"/>
        </w:rPr>
      </w:pPr>
    </w:p>
    <w:p w:rsidR="00995097" w:rsidRDefault="00995097" w:rsidP="00995097">
      <w:pPr>
        <w:spacing w:line="480" w:lineRule="auto"/>
        <w:rPr>
          <w:rFonts w:ascii="Times New Roman" w:hAnsi="Times New Roman" w:cs="Times New Roman"/>
          <w:b/>
          <w:sz w:val="24"/>
          <w:szCs w:val="24"/>
        </w:rPr>
      </w:pPr>
    </w:p>
    <w:p w:rsidR="00995097" w:rsidRDefault="00995097" w:rsidP="0099509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Factors that Lead to Iron Deficiency Anaemia in Women in Jordan</w:t>
      </w:r>
    </w:p>
    <w:p w:rsidR="00995097" w:rsidRPr="002718F9" w:rsidRDefault="00995097" w:rsidP="00995097">
      <w:pPr>
        <w:spacing w:line="480" w:lineRule="auto"/>
        <w:jc w:val="center"/>
        <w:rPr>
          <w:rFonts w:ascii="Times New Roman" w:hAnsi="Times New Roman" w:cs="Times New Roman"/>
          <w:b/>
          <w:sz w:val="24"/>
          <w:szCs w:val="24"/>
        </w:rPr>
      </w:pPr>
    </w:p>
    <w:p w:rsidR="00995097" w:rsidRPr="002718F9" w:rsidRDefault="00995097" w:rsidP="00995097">
      <w:pPr>
        <w:spacing w:line="480" w:lineRule="auto"/>
        <w:jc w:val="center"/>
        <w:rPr>
          <w:rFonts w:ascii="Times New Roman" w:hAnsi="Times New Roman" w:cs="Times New Roman"/>
          <w:sz w:val="24"/>
          <w:szCs w:val="24"/>
        </w:rPr>
      </w:pPr>
      <w:r w:rsidRPr="002718F9">
        <w:rPr>
          <w:rFonts w:ascii="Times New Roman" w:hAnsi="Times New Roman" w:cs="Times New Roman"/>
          <w:sz w:val="24"/>
          <w:szCs w:val="24"/>
        </w:rPr>
        <w:t>Student’s Name</w:t>
      </w:r>
    </w:p>
    <w:p w:rsidR="00995097" w:rsidRDefault="00995097" w:rsidP="00995097">
      <w:pPr>
        <w:spacing w:line="480" w:lineRule="auto"/>
        <w:jc w:val="center"/>
        <w:rPr>
          <w:rFonts w:ascii="Times New Roman" w:hAnsi="Times New Roman" w:cs="Times New Roman"/>
          <w:sz w:val="24"/>
          <w:szCs w:val="24"/>
        </w:rPr>
      </w:pPr>
      <w:r w:rsidRPr="002718F9">
        <w:rPr>
          <w:rFonts w:ascii="Times New Roman" w:hAnsi="Times New Roman" w:cs="Times New Roman"/>
          <w:sz w:val="24"/>
          <w:szCs w:val="24"/>
        </w:rPr>
        <w:t>Institution</w:t>
      </w:r>
    </w:p>
    <w:p w:rsidR="00995097" w:rsidRPr="002718F9" w:rsidRDefault="00995097" w:rsidP="0099509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95097" w:rsidRPr="002718F9" w:rsidRDefault="00995097" w:rsidP="00995097">
      <w:pPr>
        <w:spacing w:line="480" w:lineRule="auto"/>
        <w:jc w:val="center"/>
        <w:rPr>
          <w:rFonts w:ascii="Times New Roman" w:hAnsi="Times New Roman" w:cs="Times New Roman"/>
          <w:sz w:val="24"/>
          <w:szCs w:val="24"/>
        </w:rPr>
      </w:pPr>
      <w:r w:rsidRPr="002718F9">
        <w:rPr>
          <w:rFonts w:ascii="Times New Roman" w:hAnsi="Times New Roman" w:cs="Times New Roman"/>
          <w:sz w:val="24"/>
          <w:szCs w:val="24"/>
        </w:rPr>
        <w:t>Instructor’s Name</w:t>
      </w:r>
    </w:p>
    <w:p w:rsidR="00995097" w:rsidRPr="002718F9" w:rsidRDefault="00995097" w:rsidP="009950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95097" w:rsidRDefault="00995097" w:rsidP="00995097"/>
    <w:p w:rsidR="00995097" w:rsidRDefault="00995097" w:rsidP="00995097"/>
    <w:p w:rsidR="00995097" w:rsidRDefault="00995097" w:rsidP="00995097"/>
    <w:p w:rsidR="00995097" w:rsidRDefault="00995097" w:rsidP="00995097"/>
    <w:p w:rsidR="00995097" w:rsidRDefault="00995097" w:rsidP="00995097"/>
    <w:p w:rsidR="00995097" w:rsidRDefault="00995097" w:rsidP="00995097"/>
    <w:p w:rsidR="00995097" w:rsidRDefault="00995097" w:rsidP="00995097"/>
    <w:p w:rsidR="00995097" w:rsidRDefault="00995097" w:rsidP="00995097">
      <w:pPr>
        <w:rPr>
          <w:rFonts w:ascii="Times New Roman" w:hAnsi="Times New Roman" w:cs="Times New Roman"/>
          <w:b/>
          <w:sz w:val="24"/>
          <w:szCs w:val="24"/>
        </w:rPr>
      </w:pPr>
      <w:r>
        <w:rPr>
          <w:rFonts w:ascii="Times New Roman" w:hAnsi="Times New Roman" w:cs="Times New Roman"/>
          <w:b/>
          <w:sz w:val="24"/>
          <w:szCs w:val="24"/>
        </w:rPr>
        <w:br w:type="page"/>
      </w:r>
    </w:p>
    <w:p w:rsidR="00995097" w:rsidRPr="00DF7316" w:rsidRDefault="00995097" w:rsidP="00995097">
      <w:pPr>
        <w:spacing w:line="480" w:lineRule="auto"/>
        <w:jc w:val="center"/>
        <w:rPr>
          <w:rFonts w:ascii="Times New Roman" w:hAnsi="Times New Roman" w:cs="Times New Roman"/>
          <w:sz w:val="24"/>
          <w:szCs w:val="24"/>
        </w:rPr>
      </w:pPr>
      <w:r w:rsidRPr="00DF7316">
        <w:rPr>
          <w:rFonts w:ascii="Times New Roman" w:hAnsi="Times New Roman" w:cs="Times New Roman"/>
          <w:sz w:val="24"/>
          <w:szCs w:val="24"/>
        </w:rPr>
        <w:lastRenderedPageBreak/>
        <w:t>Abstract</w:t>
      </w:r>
    </w:p>
    <w:p w:rsidR="00995097" w:rsidRDefault="00995097" w:rsidP="0099509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identified patients suffering from IDA from Jordan hospital as participants. The participants were only female aged 13 years and above. No pregnant women were allowed to take part in the study or girls under the age of 13. They used a retrospective cross-sectional study design that involved the above participants in completing their research, and the method of sampling was possible if girls under the age of 18 years had consent from their guardians or parents (Awidi et al., </w:t>
      </w:r>
      <w:r w:rsidRPr="00B72E0E">
        <w:rPr>
          <w:rFonts w:ascii="Times New Roman" w:hAnsi="Times New Roman" w:cs="Times New Roman"/>
          <w:sz w:val="24"/>
          <w:szCs w:val="24"/>
        </w:rPr>
        <w:t>2018)</w:t>
      </w:r>
      <w:r>
        <w:rPr>
          <w:rFonts w:ascii="Times New Roman" w:hAnsi="Times New Roman" w:cs="Times New Roman"/>
          <w:sz w:val="24"/>
          <w:szCs w:val="24"/>
        </w:rPr>
        <w:t xml:space="preserve">. Two hundred and eight women with IDA were selected for the research. After an iron treatment procedure was carried out on the patients, 195 patients were found to have both moderate and severe IDA while thirteen suffered from a mild IDA. In addition, it was discovered that women who are suffering from IDA were caused by heavy menses and low red meat consumption; red meat is rich in iron. On the other hand, one hundred and thirty-five women who consumed a low vegetarian diet or suffered from poor nutrition also had IDA. A large proportion of the selected patients were found to be suffering from IDA due to heavy menses leading with 75% and low red meat consumption or poor nutrition by 70%. The patients with IDA were suffering from other illnesses as well, such as cardiovascular diseases. However, severe and moderate IDA was equally noticed in grand multigravida and multigravida women in comparison to nulligravida patients. Additionally, IDA in previous studies was found to be higher in older women aged 65 years and above. This was caused by renal impairment, nutritional deficiency and chronic inflammation. Therefore according to the results, IDA seems to be a serious health issue that is affecting both teenage and adult women in Jordan. </w:t>
      </w:r>
    </w:p>
    <w:p w:rsidR="00995097" w:rsidRDefault="00995097" w:rsidP="00995097">
      <w:pPr>
        <w:spacing w:line="480" w:lineRule="auto"/>
        <w:jc w:val="center"/>
        <w:rPr>
          <w:rFonts w:ascii="Times New Roman" w:hAnsi="Times New Roman" w:cs="Times New Roman"/>
          <w:b/>
          <w:sz w:val="24"/>
          <w:szCs w:val="24"/>
        </w:rPr>
      </w:pPr>
    </w:p>
    <w:p w:rsidR="00995097" w:rsidRDefault="00995097" w:rsidP="00995097">
      <w:pPr>
        <w:rPr>
          <w:rFonts w:ascii="Times New Roman" w:hAnsi="Times New Roman" w:cs="Times New Roman"/>
          <w:b/>
          <w:sz w:val="24"/>
          <w:szCs w:val="24"/>
        </w:rPr>
      </w:pPr>
      <w:r>
        <w:rPr>
          <w:rFonts w:ascii="Times New Roman" w:hAnsi="Times New Roman" w:cs="Times New Roman"/>
          <w:b/>
          <w:sz w:val="24"/>
          <w:szCs w:val="24"/>
        </w:rPr>
        <w:br w:type="page"/>
      </w:r>
    </w:p>
    <w:p w:rsidR="00995097" w:rsidRDefault="00995097" w:rsidP="0099509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Factors that Lead to Iron Deficiency Anaemia in Women in Jordan</w:t>
      </w:r>
    </w:p>
    <w:p w:rsidR="00995097" w:rsidRPr="007579D8" w:rsidRDefault="00995097" w:rsidP="00995097">
      <w:pPr>
        <w:spacing w:line="480" w:lineRule="auto"/>
        <w:jc w:val="center"/>
        <w:rPr>
          <w:rFonts w:ascii="Times New Roman" w:hAnsi="Times New Roman" w:cs="Times New Roman"/>
          <w:b/>
          <w:sz w:val="24"/>
          <w:szCs w:val="24"/>
        </w:rPr>
      </w:pPr>
      <w:r w:rsidRPr="007579D8">
        <w:rPr>
          <w:rFonts w:ascii="Times New Roman" w:hAnsi="Times New Roman" w:cs="Times New Roman"/>
          <w:b/>
          <w:sz w:val="24"/>
          <w:szCs w:val="24"/>
        </w:rPr>
        <w:t>Introduction</w:t>
      </w:r>
    </w:p>
    <w:p w:rsidR="00995097" w:rsidRDefault="00995097" w:rsidP="00995097">
      <w:pPr>
        <w:spacing w:after="0" w:line="480" w:lineRule="auto"/>
        <w:ind w:firstLine="720"/>
        <w:contextualSpacing/>
        <w:rPr>
          <w:rFonts w:ascii="Times New Roman" w:hAnsi="Times New Roman" w:cs="Times New Roman"/>
          <w:sz w:val="24"/>
          <w:szCs w:val="24"/>
        </w:rPr>
      </w:pPr>
      <w:r w:rsidRPr="002B1B06">
        <w:rPr>
          <w:rFonts w:ascii="Times New Roman" w:hAnsi="Times New Roman" w:cs="Times New Roman"/>
          <w:sz w:val="24"/>
          <w:szCs w:val="24"/>
        </w:rPr>
        <w:t xml:space="preserve">Iron </w:t>
      </w:r>
      <w:r>
        <w:rPr>
          <w:rFonts w:ascii="Times New Roman" w:hAnsi="Times New Roman" w:cs="Times New Roman"/>
          <w:sz w:val="24"/>
          <w:szCs w:val="24"/>
        </w:rPr>
        <w:t xml:space="preserve">is a mineral micronutrient mineral that has several functions in the body, such as transporting red blood cells throughout the body to distribute oxygen. Having enough iron in the body helps to prevent iron deficiency anemia from occurring. Anemia is one of the common diseases affecting people globally because of iron deficiency (Awidi et al., </w:t>
      </w:r>
      <w:r w:rsidRPr="00B72E0E">
        <w:rPr>
          <w:rFonts w:ascii="Times New Roman" w:hAnsi="Times New Roman" w:cs="Times New Roman"/>
          <w:sz w:val="24"/>
          <w:szCs w:val="24"/>
        </w:rPr>
        <w:t>2018)</w:t>
      </w:r>
      <w:r>
        <w:rPr>
          <w:rFonts w:ascii="Times New Roman" w:hAnsi="Times New Roman" w:cs="Times New Roman"/>
          <w:sz w:val="24"/>
          <w:szCs w:val="24"/>
        </w:rPr>
        <w:t xml:space="preserve">. </w:t>
      </w:r>
    </w:p>
    <w:p w:rsidR="00995097" w:rsidRPr="004C2875" w:rsidRDefault="00995097" w:rsidP="00995097">
      <w:pPr>
        <w:spacing w:after="0" w:line="480" w:lineRule="auto"/>
        <w:contextualSpacing/>
        <w:jc w:val="center"/>
        <w:rPr>
          <w:rFonts w:ascii="Times New Roman" w:hAnsi="Times New Roman" w:cs="Times New Roman"/>
          <w:b/>
          <w:sz w:val="24"/>
          <w:szCs w:val="24"/>
        </w:rPr>
      </w:pPr>
      <w:r w:rsidRPr="004C2875">
        <w:rPr>
          <w:rFonts w:ascii="Times New Roman" w:hAnsi="Times New Roman" w:cs="Times New Roman"/>
          <w:b/>
          <w:sz w:val="24"/>
          <w:szCs w:val="24"/>
        </w:rPr>
        <w:t>Purpose of the Study</w:t>
      </w:r>
    </w:p>
    <w:p w:rsidR="00995097" w:rsidRDefault="00995097" w:rsidP="0099509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reason for the study was to determine the contributing factor that leads to iron deficiency anemia in women and its impact. The study was undertaken in a tertiary university hospital that caters for both inpatients and outpatients of hematology service.</w:t>
      </w:r>
    </w:p>
    <w:p w:rsidR="00995097" w:rsidRDefault="00995097" w:rsidP="0099509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Participants Description</w:t>
      </w:r>
    </w:p>
    <w:p w:rsidR="00995097" w:rsidRDefault="00995097" w:rsidP="0099509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study chose female participants aged 13 years and above who suffer from iron deficiency anemia, and a total of 208 women were selected.</w:t>
      </w:r>
    </w:p>
    <w:p w:rsidR="00995097" w:rsidRDefault="00995097" w:rsidP="0099509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Procedures/</w:t>
      </w:r>
      <w:r w:rsidRPr="008F7041">
        <w:rPr>
          <w:rFonts w:ascii="Times New Roman" w:hAnsi="Times New Roman" w:cs="Times New Roman"/>
          <w:b/>
          <w:sz w:val="24"/>
          <w:szCs w:val="24"/>
        </w:rPr>
        <w:t>Method</w:t>
      </w:r>
    </w:p>
    <w:p w:rsidR="00995097" w:rsidRDefault="00995097" w:rsidP="0099509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method used in the study was conducted in regard to the guidelines set by the University of Jordan Hospital Institutional Review Board. Women under the age of 18 years had to have consent from their parents or guardians to participate and had to have iron deficiency anemia (IDA).</w:t>
      </w:r>
    </w:p>
    <w:p w:rsidR="00995097" w:rsidRPr="003A4C4D" w:rsidRDefault="00995097" w:rsidP="00995097">
      <w:pPr>
        <w:spacing w:after="0" w:line="480" w:lineRule="auto"/>
        <w:contextualSpacing/>
        <w:jc w:val="center"/>
        <w:rPr>
          <w:rFonts w:ascii="Times New Roman" w:hAnsi="Times New Roman" w:cs="Times New Roman"/>
          <w:sz w:val="24"/>
          <w:szCs w:val="24"/>
        </w:rPr>
      </w:pPr>
      <w:r w:rsidRPr="008F7041">
        <w:rPr>
          <w:rFonts w:ascii="Times New Roman" w:hAnsi="Times New Roman" w:cs="Times New Roman"/>
          <w:b/>
          <w:sz w:val="24"/>
          <w:szCs w:val="24"/>
        </w:rPr>
        <w:t>Results</w:t>
      </w:r>
    </w:p>
    <w:p w:rsidR="00995097" w:rsidRDefault="00995097" w:rsidP="0099509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Out of the selected participants, 195 of them had moderate anemia per World Health Organization's classification on anemia (Awidi et al., </w:t>
      </w:r>
      <w:r w:rsidRPr="00B72E0E">
        <w:rPr>
          <w:rFonts w:ascii="Times New Roman" w:hAnsi="Times New Roman" w:cs="Times New Roman"/>
          <w:sz w:val="24"/>
          <w:szCs w:val="24"/>
        </w:rPr>
        <w:t>2018)</w:t>
      </w:r>
      <w:r>
        <w:rPr>
          <w:rFonts w:ascii="Times New Roman" w:hAnsi="Times New Roman" w:cs="Times New Roman"/>
          <w:sz w:val="24"/>
          <w:szCs w:val="24"/>
        </w:rPr>
        <w:t xml:space="preserve">. Thirteen patients had mild anemia. IDA was associated with heavy menses in 140 patients. IDA was also contributed by a poor </w:t>
      </w:r>
      <w:r>
        <w:rPr>
          <w:rFonts w:ascii="Times New Roman" w:hAnsi="Times New Roman" w:cs="Times New Roman"/>
          <w:sz w:val="24"/>
          <w:szCs w:val="24"/>
        </w:rPr>
        <w:lastRenderedPageBreak/>
        <w:t>vegetarian diet, particularly those that consumed little to no red meat; this was found in 135 patients.</w:t>
      </w:r>
    </w:p>
    <w:p w:rsidR="00995097" w:rsidRDefault="00995097" w:rsidP="00995097">
      <w:pPr>
        <w:spacing w:after="0" w:line="480" w:lineRule="auto"/>
        <w:contextualSpacing/>
        <w:jc w:val="center"/>
        <w:rPr>
          <w:rFonts w:ascii="Times New Roman" w:hAnsi="Times New Roman" w:cs="Times New Roman"/>
          <w:b/>
          <w:sz w:val="24"/>
          <w:szCs w:val="24"/>
        </w:rPr>
      </w:pPr>
      <w:r w:rsidRPr="00DF4044">
        <w:rPr>
          <w:rFonts w:ascii="Times New Roman" w:hAnsi="Times New Roman" w:cs="Times New Roman"/>
          <w:b/>
          <w:sz w:val="24"/>
          <w:szCs w:val="24"/>
        </w:rPr>
        <w:t>Personal Reflection</w:t>
      </w:r>
    </w:p>
    <w:p w:rsidR="00995097" w:rsidRDefault="00995097" w:rsidP="0099509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research was eye-opening because I learned about the causes that lead to IDA in women aged 13 years and above. Additionally, the study was brief and straight to the point, although it lacked some key aspects such as a problem statement to showcase gaps and the importance of the research. </w:t>
      </w:r>
    </w:p>
    <w:p w:rsidR="00995097" w:rsidRPr="00174FCA" w:rsidRDefault="00995097" w:rsidP="00995097">
      <w:pPr>
        <w:spacing w:after="0" w:line="480" w:lineRule="auto"/>
        <w:contextualSpacing/>
        <w:jc w:val="center"/>
        <w:rPr>
          <w:rFonts w:ascii="Times New Roman" w:hAnsi="Times New Roman" w:cs="Times New Roman"/>
          <w:sz w:val="24"/>
          <w:szCs w:val="24"/>
        </w:rPr>
      </w:pPr>
      <w:r>
        <w:rPr>
          <w:rFonts w:ascii="Times New Roman" w:hAnsi="Times New Roman" w:cs="Times New Roman"/>
          <w:b/>
          <w:sz w:val="24"/>
          <w:szCs w:val="24"/>
        </w:rPr>
        <w:t>Conclusion</w:t>
      </w:r>
    </w:p>
    <w:p w:rsidR="00995097" w:rsidRPr="004731C7" w:rsidRDefault="00995097" w:rsidP="0099509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Several factors cause iron deficiency in women. According to this study, it is caused by low red meat consumption and heavy menses. The research plan development is not based on a theoretical framework since it did not have a problem statement. It only focused on finding out why women suffer from IDA. The article is cited correctly with current and appropriate references that give more information on the topic. The participants used in the research method are not described, only the appropriate age was mentioned, and the type of people used in the study was supposed to be suffering from IDA. However, the sampling was specific since they did not use pregnant women or those who were under 13 years in the study to attain their desired results. The researchers used an iron treatment procedure for one year, and the process was not described in depth. According to the research, the results were in line with the purpose of the study, since it identified the leading cause of IDA in women. Although, the results would have a lot of weight if it had involved men as well for readers to know which gender gets affected more with IDA. The tables are well represented and complete with all the required information. For instance, Table 1 showcases the patient's characteristics based on age and whether the participants were smokers or nonsmokers. In the beginning, the results of the study are not </w:t>
      </w:r>
      <w:r>
        <w:rPr>
          <w:rFonts w:ascii="Times New Roman" w:hAnsi="Times New Roman" w:cs="Times New Roman"/>
          <w:sz w:val="24"/>
          <w:szCs w:val="24"/>
        </w:rPr>
        <w:lastRenderedPageBreak/>
        <w:t>discussed immediately. They first analyzed previous studies conducted in Jordan that focused on IDA in pregnant women. This was the first study in Jordan that included both adolescents and adults together. The findings in this study were different from the previous IDA research because it featured pregnant women. One of the limitations mentioned in this study was how they focused on already hospitalized patients that were from the same gender. The addition of male participants would have made the study more relatable due to the comparison.</w:t>
      </w:r>
    </w:p>
    <w:p w:rsidR="00995097" w:rsidRDefault="00995097" w:rsidP="00995097">
      <w:pPr>
        <w:rPr>
          <w:rFonts w:ascii="Times New Roman" w:hAnsi="Times New Roman" w:cs="Times New Roman"/>
          <w:b/>
          <w:sz w:val="24"/>
          <w:szCs w:val="24"/>
        </w:rPr>
      </w:pPr>
      <w:r>
        <w:rPr>
          <w:rFonts w:ascii="Times New Roman" w:hAnsi="Times New Roman" w:cs="Times New Roman"/>
          <w:b/>
          <w:sz w:val="24"/>
          <w:szCs w:val="24"/>
        </w:rPr>
        <w:br w:type="page"/>
      </w:r>
    </w:p>
    <w:p w:rsidR="00995097" w:rsidRPr="004731C7" w:rsidRDefault="00995097" w:rsidP="0099509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995097" w:rsidRPr="001D2842" w:rsidRDefault="00995097" w:rsidP="00995097">
      <w:pPr>
        <w:spacing w:after="0" w:line="480" w:lineRule="auto"/>
        <w:ind w:left="720" w:hanging="720"/>
        <w:contextualSpacing/>
        <w:rPr>
          <w:rFonts w:ascii="Times New Roman" w:hAnsi="Times New Roman" w:cs="Times New Roman"/>
          <w:sz w:val="24"/>
          <w:szCs w:val="24"/>
        </w:rPr>
      </w:pPr>
      <w:proofErr w:type="gramStart"/>
      <w:r w:rsidRPr="00B72E0E">
        <w:rPr>
          <w:rFonts w:ascii="Times New Roman" w:hAnsi="Times New Roman" w:cs="Times New Roman"/>
          <w:sz w:val="24"/>
          <w:szCs w:val="24"/>
        </w:rPr>
        <w:t>Awidi, M., Bawaneh, H., Zureigat, H., AlHusban, M., &amp; Awidi, A. (2018).</w:t>
      </w:r>
      <w:proofErr w:type="gramEnd"/>
      <w:r w:rsidRPr="00B72E0E">
        <w:rPr>
          <w:rFonts w:ascii="Times New Roman" w:hAnsi="Times New Roman" w:cs="Times New Roman"/>
          <w:sz w:val="24"/>
          <w:szCs w:val="24"/>
        </w:rPr>
        <w:t xml:space="preserve"> </w:t>
      </w:r>
      <w:proofErr w:type="gramStart"/>
      <w:r w:rsidRPr="00B72E0E">
        <w:rPr>
          <w:rFonts w:ascii="Times New Roman" w:hAnsi="Times New Roman" w:cs="Times New Roman"/>
          <w:sz w:val="24"/>
          <w:szCs w:val="24"/>
        </w:rPr>
        <w:t>Contributing factors to iron deficiency anemia in women in Jordan: A single-center cross-sectional study.</w:t>
      </w:r>
      <w:proofErr w:type="gramEnd"/>
      <w:r w:rsidRPr="00B72E0E">
        <w:rPr>
          <w:rFonts w:ascii="Times New Roman" w:hAnsi="Times New Roman" w:cs="Times New Roman"/>
          <w:sz w:val="24"/>
          <w:szCs w:val="24"/>
        </w:rPr>
        <w:t> </w:t>
      </w:r>
      <w:proofErr w:type="gramStart"/>
      <w:r w:rsidRPr="00B72E0E">
        <w:rPr>
          <w:rFonts w:ascii="Times New Roman" w:hAnsi="Times New Roman" w:cs="Times New Roman"/>
          <w:i/>
          <w:iCs/>
          <w:sz w:val="24"/>
          <w:szCs w:val="24"/>
        </w:rPr>
        <w:t>PloS one</w:t>
      </w:r>
      <w:r w:rsidRPr="00B72E0E">
        <w:rPr>
          <w:rFonts w:ascii="Times New Roman" w:hAnsi="Times New Roman" w:cs="Times New Roman"/>
          <w:sz w:val="24"/>
          <w:szCs w:val="24"/>
        </w:rPr>
        <w:t>, </w:t>
      </w:r>
      <w:r w:rsidRPr="00B72E0E">
        <w:rPr>
          <w:rFonts w:ascii="Times New Roman" w:hAnsi="Times New Roman" w:cs="Times New Roman"/>
          <w:i/>
          <w:iCs/>
          <w:sz w:val="24"/>
          <w:szCs w:val="24"/>
        </w:rPr>
        <w:t>13</w:t>
      </w:r>
      <w:r w:rsidRPr="00B72E0E">
        <w:rPr>
          <w:rFonts w:ascii="Times New Roman" w:hAnsi="Times New Roman" w:cs="Times New Roman"/>
          <w:sz w:val="24"/>
          <w:szCs w:val="24"/>
        </w:rPr>
        <w:t>(11), e0205868.</w:t>
      </w:r>
      <w:proofErr w:type="gramEnd"/>
      <w:r>
        <w:rPr>
          <w:rFonts w:ascii="Times New Roman" w:hAnsi="Times New Roman" w:cs="Times New Roman"/>
          <w:sz w:val="24"/>
          <w:szCs w:val="24"/>
        </w:rPr>
        <w:t xml:space="preserve"> </w:t>
      </w:r>
      <w:hyperlink r:id="rId5" w:history="1">
        <w:r w:rsidRPr="00380F51">
          <w:rPr>
            <w:rStyle w:val="Hyperlink"/>
            <w:rFonts w:ascii="Times New Roman" w:hAnsi="Times New Roman" w:cs="Times New Roman"/>
            <w:sz w:val="24"/>
            <w:szCs w:val="24"/>
          </w:rPr>
          <w:t>https://journals.plos.org/plosone/article?id=10.1371/journal.pone.0205868</w:t>
        </w:r>
      </w:hyperlink>
      <w:r>
        <w:rPr>
          <w:rFonts w:ascii="Times New Roman" w:hAnsi="Times New Roman" w:cs="Times New Roman"/>
          <w:sz w:val="24"/>
          <w:szCs w:val="24"/>
        </w:rPr>
        <w:t xml:space="preserve"> </w:t>
      </w:r>
    </w:p>
    <w:p w:rsidR="008F407A" w:rsidRDefault="008F407A">
      <w:bookmarkStart w:id="0" w:name="_GoBack"/>
      <w:bookmarkEnd w:id="0"/>
    </w:p>
    <w:sectPr w:rsidR="008F407A" w:rsidSect="008161CC">
      <w:head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9283972"/>
      <w:docPartObj>
        <w:docPartGallery w:val="Page Numbers (Top of Page)"/>
        <w:docPartUnique/>
      </w:docPartObj>
    </w:sdtPr>
    <w:sdtEndPr>
      <w:rPr>
        <w:rFonts w:ascii="Times New Roman" w:hAnsi="Times New Roman" w:cs="Times New Roman"/>
        <w:noProof/>
        <w:sz w:val="24"/>
        <w:szCs w:val="24"/>
      </w:rPr>
    </w:sdtEndPr>
    <w:sdtContent>
      <w:p w:rsidR="008161CC" w:rsidRPr="008161CC" w:rsidRDefault="00995097" w:rsidP="008161CC">
        <w:pPr>
          <w:pStyle w:val="Header"/>
          <w:spacing w:line="480" w:lineRule="auto"/>
          <w:jc w:val="right"/>
          <w:rPr>
            <w:rFonts w:ascii="Times New Roman" w:hAnsi="Times New Roman" w:cs="Times New Roman"/>
            <w:sz w:val="24"/>
            <w:szCs w:val="24"/>
          </w:rPr>
        </w:pPr>
        <w:r w:rsidRPr="008161CC">
          <w:rPr>
            <w:rFonts w:ascii="Times New Roman" w:hAnsi="Times New Roman" w:cs="Times New Roman"/>
            <w:sz w:val="24"/>
            <w:szCs w:val="24"/>
          </w:rPr>
          <w:fldChar w:fldCharType="begin"/>
        </w:r>
        <w:r w:rsidRPr="008161CC">
          <w:rPr>
            <w:rFonts w:ascii="Times New Roman" w:hAnsi="Times New Roman" w:cs="Times New Roman"/>
            <w:sz w:val="24"/>
            <w:szCs w:val="24"/>
          </w:rPr>
          <w:instrText xml:space="preserve"> PAGE   \* MERGEFORMAT </w:instrText>
        </w:r>
        <w:r w:rsidRPr="008161CC">
          <w:rPr>
            <w:rFonts w:ascii="Times New Roman" w:hAnsi="Times New Roman" w:cs="Times New Roman"/>
            <w:sz w:val="24"/>
            <w:szCs w:val="24"/>
          </w:rPr>
          <w:fldChar w:fldCharType="separate"/>
        </w:r>
        <w:r>
          <w:rPr>
            <w:rFonts w:ascii="Times New Roman" w:hAnsi="Times New Roman" w:cs="Times New Roman"/>
            <w:noProof/>
            <w:sz w:val="24"/>
            <w:szCs w:val="24"/>
          </w:rPr>
          <w:t>4</w:t>
        </w:r>
        <w:r w:rsidRPr="008161C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86137"/>
      <w:docPartObj>
        <w:docPartGallery w:val="Page Numbers (Top of Page)"/>
        <w:docPartUnique/>
      </w:docPartObj>
    </w:sdtPr>
    <w:sdtEndPr>
      <w:rPr>
        <w:rFonts w:ascii="Times New Roman" w:hAnsi="Times New Roman" w:cs="Times New Roman"/>
        <w:noProof/>
        <w:sz w:val="24"/>
        <w:szCs w:val="24"/>
      </w:rPr>
    </w:sdtEndPr>
    <w:sdtContent>
      <w:p w:rsidR="008161CC" w:rsidRPr="008161CC" w:rsidRDefault="00995097" w:rsidP="008161CC">
        <w:pPr>
          <w:pStyle w:val="Header"/>
          <w:spacing w:line="480" w:lineRule="auto"/>
          <w:jc w:val="right"/>
          <w:rPr>
            <w:rFonts w:ascii="Times New Roman" w:hAnsi="Times New Roman" w:cs="Times New Roman"/>
            <w:sz w:val="24"/>
            <w:szCs w:val="24"/>
          </w:rPr>
        </w:pPr>
        <w:r w:rsidRPr="008161CC">
          <w:rPr>
            <w:rFonts w:ascii="Times New Roman" w:hAnsi="Times New Roman" w:cs="Times New Roman"/>
            <w:sz w:val="24"/>
            <w:szCs w:val="24"/>
          </w:rPr>
          <w:fldChar w:fldCharType="begin"/>
        </w:r>
        <w:r w:rsidRPr="008161CC">
          <w:rPr>
            <w:rFonts w:ascii="Times New Roman" w:hAnsi="Times New Roman" w:cs="Times New Roman"/>
            <w:sz w:val="24"/>
            <w:szCs w:val="24"/>
          </w:rPr>
          <w:instrText xml:space="preserve"> PAGE   \* MERGEFORMAT </w:instrText>
        </w:r>
        <w:r w:rsidRPr="008161CC">
          <w:rPr>
            <w:rFonts w:ascii="Times New Roman" w:hAnsi="Times New Roman" w:cs="Times New Roman"/>
            <w:sz w:val="24"/>
            <w:szCs w:val="24"/>
          </w:rPr>
          <w:fldChar w:fldCharType="separate"/>
        </w:r>
        <w:r>
          <w:rPr>
            <w:rFonts w:ascii="Times New Roman" w:hAnsi="Times New Roman" w:cs="Times New Roman"/>
            <w:noProof/>
            <w:sz w:val="24"/>
            <w:szCs w:val="24"/>
          </w:rPr>
          <w:t>1</w:t>
        </w:r>
        <w:r w:rsidRPr="008161C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097"/>
    <w:rsid w:val="008F407A"/>
    <w:rsid w:val="00995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09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097"/>
  </w:style>
  <w:style w:type="character" w:styleId="Hyperlink">
    <w:name w:val="Hyperlink"/>
    <w:basedOn w:val="DefaultParagraphFont"/>
    <w:uiPriority w:val="99"/>
    <w:unhideWhenUsed/>
    <w:rsid w:val="009950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09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097"/>
  </w:style>
  <w:style w:type="character" w:styleId="Hyperlink">
    <w:name w:val="Hyperlink"/>
    <w:basedOn w:val="DefaultParagraphFont"/>
    <w:uiPriority w:val="99"/>
    <w:unhideWhenUsed/>
    <w:rsid w:val="009950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s://journals.plos.org/plosone/article?id=10.1371/journal.pone.020586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913</Words>
  <Characters>5207</Characters>
  <Application>Microsoft Office Word</Application>
  <DocSecurity>0</DocSecurity>
  <Lines>43</Lines>
  <Paragraphs>12</Paragraphs>
  <ScaleCrop>false</ScaleCrop>
  <Company/>
  <LinksUpToDate>false</LinksUpToDate>
  <CharactersWithSpaces>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2020-07-09T20:28:00Z</dcterms:created>
  <dcterms:modified xsi:type="dcterms:W3CDTF">2020-07-09T20:29:00Z</dcterms:modified>
</cp:coreProperties>
</file>